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91E" w:rsidRDefault="0057491E" w:rsidP="00A2109A">
      <w:pPr>
        <w:pStyle w:val="AralkYok"/>
        <w:rPr>
          <w:sz w:val="20"/>
          <w:szCs w:val="20"/>
        </w:rPr>
      </w:pPr>
    </w:p>
    <w:p w:rsidR="0057491E" w:rsidRPr="00AA576B" w:rsidRDefault="007036E7" w:rsidP="0057491E">
      <w:pPr>
        <w:pStyle w:val="AralkYok"/>
        <w:jc w:val="center"/>
        <w:rPr>
          <w:b/>
        </w:rPr>
      </w:pPr>
      <w:hyperlink r:id="rId6" w:history="1">
        <w:r w:rsidRPr="007D5CDF">
          <w:rPr>
            <w:rStyle w:val="Kpr"/>
            <w:b/>
          </w:rPr>
          <w:t>2. SINIF MATEMATİK DERSİ DERS PLANI</w:t>
        </w:r>
      </w:hyperlink>
    </w:p>
    <w:p w:rsidR="0057491E" w:rsidRPr="00FF1DD2" w:rsidRDefault="007036E7" w:rsidP="0057491E">
      <w:pPr>
        <w:pStyle w:val="AralkYok"/>
        <w:jc w:val="center"/>
        <w:rPr>
          <w:b/>
          <w:color w:val="FF0000"/>
        </w:rPr>
      </w:pPr>
      <w:r>
        <w:rPr>
          <w:b/>
          <w:color w:val="FF0000"/>
        </w:rPr>
        <w:t>12</w:t>
      </w:r>
      <w:r w:rsidRPr="00FF1DD2">
        <w:rPr>
          <w:b/>
          <w:color w:val="FF0000"/>
        </w:rPr>
        <w:t xml:space="preserve">.Hafta </w:t>
      </w:r>
    </w:p>
    <w:p w:rsidR="0057491E" w:rsidRPr="00AA576B" w:rsidRDefault="007036E7" w:rsidP="0057491E">
      <w:pPr>
        <w:pStyle w:val="AralkYok"/>
        <w:jc w:val="center"/>
        <w:rPr>
          <w:b/>
        </w:rPr>
      </w:pPr>
      <w:r>
        <w:rPr>
          <w:b/>
        </w:rPr>
        <w:t>(01-05 ARALIK 2025</w:t>
      </w:r>
      <w:r w:rsidRPr="00AA576B">
        <w:rPr>
          <w:b/>
        </w:rPr>
        <w:t>)</w:t>
      </w:r>
    </w:p>
    <w:p w:rsidR="0057491E" w:rsidRDefault="0057491E" w:rsidP="0057491E">
      <w:pPr>
        <w:pStyle w:val="AralkYok"/>
        <w:jc w:val="center"/>
      </w:pPr>
    </w:p>
    <w:tbl>
      <w:tblPr>
        <w:tblStyle w:val="TabloKlavuzu"/>
        <w:tblW w:w="0" w:type="auto"/>
        <w:jc w:val="center"/>
        <w:tblLook w:val="04A0" w:firstRow="1" w:lastRow="0" w:firstColumn="1" w:lastColumn="0" w:noHBand="0" w:noVBand="1"/>
      </w:tblPr>
      <w:tblGrid>
        <w:gridCol w:w="2547"/>
        <w:gridCol w:w="8084"/>
      </w:tblGrid>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rsidR="0057491E" w:rsidRPr="00DF02B0" w:rsidRDefault="007036E7" w:rsidP="00BE0CFF">
            <w:pPr>
              <w:pStyle w:val="AralkYok"/>
              <w:rPr>
                <w:sz w:val="19"/>
                <w:szCs w:val="19"/>
              </w:rPr>
            </w:pP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5</w:t>
            </w:r>
            <w:r w:rsidRPr="00DF02B0">
              <w:rPr>
                <w:rFonts w:ascii="Tahoma" w:hAnsi="Tahoma" w:cs="Tahoma"/>
                <w:sz w:val="19"/>
                <w:szCs w:val="19"/>
                <w14:ligatures w14:val="standardContextual"/>
              </w:rPr>
              <w:t xml:space="preserve">  Ders saati</w:t>
            </w:r>
          </w:p>
        </w:tc>
      </w:tr>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rsidR="0057491E" w:rsidRPr="00DF02B0" w:rsidRDefault="007036E7" w:rsidP="00BE0CFF">
            <w:pPr>
              <w:pStyle w:val="AralkYok"/>
              <w:rPr>
                <w:sz w:val="19"/>
                <w:szCs w:val="19"/>
              </w:rPr>
            </w:pPr>
            <w:r w:rsidRPr="009632A3">
              <w:rPr>
                <w:rFonts w:ascii="Tahoma" w:hAnsi="Tahoma" w:cs="Tahoma"/>
                <w:b/>
                <w:sz w:val="19"/>
                <w:szCs w:val="19"/>
                <w14:ligatures w14:val="standardContextual"/>
              </w:rPr>
              <w:t>SAYILAR VE NİCELİKLER (1)</w:t>
            </w:r>
          </w:p>
        </w:tc>
      </w:tr>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rsidR="0057491E" w:rsidRPr="00DF02B0" w:rsidRDefault="007036E7" w:rsidP="00BE0CFF">
            <w:pPr>
              <w:pStyle w:val="AralkYok"/>
              <w:rPr>
                <w:sz w:val="19"/>
                <w:szCs w:val="19"/>
              </w:rPr>
            </w:pPr>
            <w:r>
              <w:rPr>
                <w:rFonts w:ascii="Tahoma" w:hAnsi="Tahoma" w:cs="Tahoma"/>
                <w:b/>
                <w:sz w:val="19"/>
                <w:szCs w:val="19"/>
                <w14:ligatures w14:val="standardContextual"/>
              </w:rPr>
              <w:t>SAYILAR</w:t>
            </w:r>
          </w:p>
        </w:tc>
      </w:tr>
      <w:tr w:rsidR="0087275B" w:rsidTr="00BE0CFF">
        <w:trPr>
          <w:jc w:val="center"/>
        </w:trPr>
        <w:tc>
          <w:tcPr>
            <w:tcW w:w="2547" w:type="dxa"/>
            <w:vAlign w:val="center"/>
          </w:tcPr>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rsidR="0057491E" w:rsidRPr="00DF02B0" w:rsidRDefault="007036E7" w:rsidP="00BE0CFF">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rsidR="0057491E" w:rsidRPr="00472579" w:rsidRDefault="007036E7" w:rsidP="00BE0CFF">
            <w:pPr>
              <w:pStyle w:val="AralkYok"/>
              <w:rPr>
                <w:rFonts w:ascii="Tahoma" w:hAnsi="Tahoma" w:cs="Tahoma"/>
                <w:b/>
                <w:sz w:val="19"/>
                <w:szCs w:val="19"/>
                <w14:ligatures w14:val="standardContextual"/>
              </w:rPr>
            </w:pPr>
            <w:r w:rsidRPr="00472579">
              <w:rPr>
                <w:rFonts w:ascii="Tahoma" w:hAnsi="Tahoma" w:cs="Tahoma"/>
                <w:b/>
                <w:sz w:val="19"/>
                <w:szCs w:val="19"/>
                <w14:ligatures w14:val="standardContextual"/>
              </w:rPr>
              <w:t>MAT.2.1.5. Sayı ve sayı temsiline dönüşen şekil örüntülerine dayalı çıkarım yapabilme</w:t>
            </w:r>
            <w:r>
              <w:rPr>
                <w:rFonts w:ascii="Tahoma" w:hAnsi="Tahoma" w:cs="Tahoma"/>
                <w:b/>
                <w:sz w:val="19"/>
                <w:szCs w:val="19"/>
                <w14:ligatures w14:val="standardContextual"/>
              </w:rPr>
              <w:t xml:space="preserve"> (5 saat)</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a</w:t>
            </w:r>
            <w:r w:rsidRPr="00A23AE0">
              <w:rPr>
                <w:rFonts w:ascii="Tahoma" w:hAnsi="Tahoma" w:cs="Tahoma"/>
                <w:sz w:val="19"/>
                <w:szCs w:val="19"/>
                <w14:ligatures w14:val="standardContextual"/>
              </w:rPr>
              <w:t>) Örüntüde kullanılan sayılar ve sayı temsiline dönüşen şekiller</w:t>
            </w:r>
            <w:r w:rsidRPr="00A23AE0">
              <w:rPr>
                <w:rFonts w:ascii="Tahoma" w:hAnsi="Tahoma" w:cs="Tahoma"/>
                <w:sz w:val="19"/>
                <w:szCs w:val="19"/>
                <w14:ligatures w14:val="standardContextual"/>
              </w:rPr>
              <w:t xml:space="preserve"> arasındaki ilişkiye</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yönelik varsayımda bulunur.</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b</w:t>
            </w:r>
            <w:r w:rsidRPr="00A23AE0">
              <w:rPr>
                <w:rFonts w:ascii="Tahoma" w:hAnsi="Tahoma" w:cs="Tahoma"/>
                <w:sz w:val="19"/>
                <w:szCs w:val="19"/>
                <w14:ligatures w14:val="standardContextual"/>
              </w:rPr>
              <w:t>) Belirlediği varsayıma göre sayı ve sayı temsiline dönüşen şekil örüntülerini</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örnekler üzerinde listeler.</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c</w:t>
            </w:r>
            <w:r w:rsidRPr="00A23AE0">
              <w:rPr>
                <w:rFonts w:ascii="Tahoma" w:hAnsi="Tahoma" w:cs="Tahoma"/>
                <w:sz w:val="19"/>
                <w:szCs w:val="19"/>
                <w14:ligatures w14:val="standardContextual"/>
              </w:rPr>
              <w:t>) Gösterilen örüntünün, varsayımı karşılayıp karşılamadığını örneklerle sınar.</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ç) </w:t>
            </w:r>
            <w:r w:rsidRPr="00A23AE0">
              <w:rPr>
                <w:rFonts w:ascii="Tahoma" w:hAnsi="Tahoma" w:cs="Tahoma"/>
                <w:sz w:val="19"/>
                <w:szCs w:val="19"/>
                <w14:ligatures w14:val="standardContextual"/>
              </w:rPr>
              <w:t>Karş</w:t>
            </w:r>
            <w:r w:rsidRPr="00A23AE0">
              <w:rPr>
                <w:rFonts w:ascii="Tahoma" w:hAnsi="Tahoma" w:cs="Tahoma"/>
                <w:sz w:val="19"/>
                <w:szCs w:val="19"/>
                <w14:ligatures w14:val="standardContextual"/>
              </w:rPr>
              <w:t>ılaştırılan sayı ve sayı temsiline dönüşen şekil örüntülerinin kuralını</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sözlü olarak ifade eder.</w:t>
            </w:r>
          </w:p>
          <w:p w:rsidR="0057491E" w:rsidRPr="00DF02B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d) </w:t>
            </w:r>
            <w:r w:rsidRPr="00A23AE0">
              <w:rPr>
                <w:rFonts w:ascii="Tahoma" w:hAnsi="Tahoma" w:cs="Tahoma"/>
                <w:sz w:val="19"/>
                <w:szCs w:val="19"/>
                <w14:ligatures w14:val="standardContextual"/>
              </w:rPr>
              <w:t>Gösterilen örüntü ile ilgili değerlendirmede bulunur.</w:t>
            </w:r>
          </w:p>
        </w:tc>
      </w:tr>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rsidR="0057491E" w:rsidRPr="00DF02B0" w:rsidRDefault="007036E7" w:rsidP="00BE0CFF">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kartları,</w:t>
            </w:r>
            <w:r>
              <w:rPr>
                <w:rFonts w:ascii="Tahoma" w:hAnsi="Tahoma" w:cs="Tahoma"/>
                <w:sz w:val="19"/>
                <w:szCs w:val="19"/>
              </w:rPr>
              <w:t xml:space="preserve"> sayı blokları, farklı sayma nesneleri</w:t>
            </w:r>
          </w:p>
        </w:tc>
      </w:tr>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rsidR="0057491E" w:rsidRPr="00DF02B0" w:rsidRDefault="007036E7" w:rsidP="00BE0CFF">
            <w:pPr>
              <w:pStyle w:val="AralkYok"/>
              <w:rPr>
                <w:sz w:val="19"/>
                <w:szCs w:val="19"/>
              </w:rPr>
            </w:pPr>
            <w:r w:rsidRPr="00DF02B0">
              <w:rPr>
                <w:rFonts w:ascii="Tahoma" w:hAnsi="Tahoma" w:cs="Tahoma"/>
                <w:sz w:val="19"/>
                <w:szCs w:val="19"/>
              </w:rPr>
              <w:t xml:space="preserve">1.Anlatım 2.Tümevarım 3. Tümdengelim 4. Grup tartışması 5. Gezi gözlem 6. Gösteri 7. Soru yanıt 8. Örnek olay  9. Beyin fırtınası 10. Canlandırma 11. Grup çalışmaları 12. Oyunlar 13. Rol yapma 14. </w:t>
            </w:r>
            <w:r w:rsidRPr="00DF02B0">
              <w:rPr>
                <w:rFonts w:ascii="Tahoma" w:hAnsi="Tahoma" w:cs="Tahoma"/>
                <w:sz w:val="19"/>
                <w:szCs w:val="19"/>
              </w:rPr>
              <w:t>Canlandırma</w:t>
            </w:r>
          </w:p>
        </w:tc>
      </w:tr>
      <w:tr w:rsidR="0087275B" w:rsidTr="00BE0CFF">
        <w:trPr>
          <w:jc w:val="center"/>
        </w:trPr>
        <w:tc>
          <w:tcPr>
            <w:tcW w:w="2547" w:type="dxa"/>
            <w:vAlign w:val="center"/>
          </w:tcPr>
          <w:p w:rsidR="0057491E" w:rsidRPr="00DF02B0" w:rsidRDefault="007036E7" w:rsidP="00BE0CFF">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rsidR="0057491E" w:rsidRPr="00DF02B0" w:rsidRDefault="007036E7" w:rsidP="00BE0CFF">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p>
        </w:tc>
      </w:tr>
      <w:tr w:rsidR="0087275B" w:rsidTr="00BE0CFF">
        <w:trPr>
          <w:jc w:val="center"/>
        </w:trPr>
        <w:tc>
          <w:tcPr>
            <w:tcW w:w="2547" w:type="dxa"/>
            <w:vAlign w:val="center"/>
          </w:tcPr>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rsidR="0057491E" w:rsidRPr="009632A3" w:rsidRDefault="007036E7"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rsidR="0057491E" w:rsidRPr="009632A3" w:rsidRDefault="007036E7"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sorular, gözlem formları, performans görevi, izleme testleri ve kontrol listesi kullanılarak</w:t>
            </w:r>
          </w:p>
          <w:p w:rsidR="0057491E" w:rsidRPr="00DF02B0" w:rsidRDefault="007036E7"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w:t>
            </w:r>
            <w:r w:rsidRPr="009632A3">
              <w:rPr>
                <w:rFonts w:ascii="Tahoma" w:hAnsi="Tahoma" w:cs="Tahoma"/>
                <w:sz w:val="19"/>
                <w:szCs w:val="19"/>
                <w14:ligatures w14:val="standardContextual"/>
              </w:rPr>
              <w:t xml:space="preserve"> görevi verilebilir. Performans görevinin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bütüncül dereceli puanlama anahtarı ile yapılabilir.</w:t>
            </w:r>
          </w:p>
        </w:tc>
      </w:tr>
      <w:tr w:rsidR="0087275B" w:rsidTr="00BE0CFF">
        <w:trPr>
          <w:jc w:val="center"/>
        </w:trPr>
        <w:tc>
          <w:tcPr>
            <w:tcW w:w="2547" w:type="dxa"/>
            <w:vAlign w:val="center"/>
          </w:tcPr>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rsidR="0057491E" w:rsidRDefault="007036E7" w:rsidP="00BE0CFF">
            <w:pPr>
              <w:pStyle w:val="AralkYok"/>
              <w:rPr>
                <w:rFonts w:ascii="Tahoma" w:hAnsi="Tahoma" w:cs="Tahoma"/>
                <w:sz w:val="19"/>
                <w:szCs w:val="19"/>
                <w14:ligatures w14:val="standardContextual"/>
              </w:rPr>
            </w:pPr>
            <w:r w:rsidRPr="00472579">
              <w:rPr>
                <w:rFonts w:ascii="Tahoma" w:hAnsi="Tahoma" w:cs="Tahoma"/>
                <w:b/>
                <w:sz w:val="19"/>
                <w:szCs w:val="19"/>
                <w14:ligatures w14:val="standardContextual"/>
              </w:rPr>
              <w:t>MAT.2.1.5. Sayı ve sayı temsiline dönüşen şekil örüntüle</w:t>
            </w:r>
            <w:r>
              <w:rPr>
                <w:rFonts w:ascii="Tahoma" w:hAnsi="Tahoma" w:cs="Tahoma"/>
                <w:b/>
                <w:sz w:val="19"/>
                <w:szCs w:val="19"/>
                <w14:ligatures w14:val="standardContextual"/>
              </w:rPr>
              <w:t>rine dayalı çıkarım yapabilme (5</w:t>
            </w:r>
            <w:r w:rsidRPr="00472579">
              <w:rPr>
                <w:rFonts w:ascii="Tahoma" w:hAnsi="Tahoma" w:cs="Tahoma"/>
                <w:b/>
                <w:sz w:val="19"/>
                <w:szCs w:val="19"/>
                <w14:ligatures w14:val="standardContextual"/>
              </w:rPr>
              <w:t xml:space="preserve"> saat)</w:t>
            </w:r>
          </w:p>
          <w:p w:rsidR="0057491E" w:rsidRPr="00472579"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72579">
              <w:rPr>
                <w:rFonts w:ascii="Tahoma" w:hAnsi="Tahoma" w:cs="Tahoma"/>
                <w:sz w:val="19"/>
                <w:szCs w:val="19"/>
                <w14:ligatures w14:val="standardContextual"/>
              </w:rPr>
              <w:t xml:space="preserve">Öğrencinin ilk </w:t>
            </w:r>
            <w:r w:rsidRPr="00472579">
              <w:rPr>
                <w:rFonts w:ascii="Tahoma" w:hAnsi="Tahoma" w:cs="Tahoma"/>
                <w:sz w:val="19"/>
                <w:szCs w:val="19"/>
                <w14:ligatures w14:val="standardContextual"/>
              </w:rPr>
              <w:t>üç adımı verilen örüntüyü en fazla üç adım daha devam ettirebilmesi için</w:t>
            </w:r>
          </w:p>
          <w:p w:rsidR="0057491E" w:rsidRPr="00472579" w:rsidRDefault="007036E7"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örüntüde kullanılan sayılar ve sayı temsiline dönüşen şekiller arasındaki ilişkiye yönelik</w:t>
            </w:r>
          </w:p>
          <w:p w:rsidR="0057491E" w:rsidRPr="00472579" w:rsidRDefault="007036E7"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varsayımda bulunması sağlanır. Sayı temsiline dönüşen şekil örüntüleri sayıyla ifade edilebi</w:t>
            </w:r>
            <w:r w:rsidRPr="00472579">
              <w:rPr>
                <w:rFonts w:ascii="Tahoma" w:hAnsi="Tahoma" w:cs="Tahoma"/>
                <w:sz w:val="19"/>
                <w:szCs w:val="19"/>
                <w14:ligatures w14:val="standardContextual"/>
              </w:rPr>
              <w:t>lecek</w:t>
            </w:r>
            <w:r>
              <w:rPr>
                <w:rFonts w:ascii="Tahoma" w:hAnsi="Tahoma" w:cs="Tahoma"/>
                <w:sz w:val="19"/>
                <w:szCs w:val="19"/>
                <w14:ligatures w14:val="standardContextual"/>
              </w:rPr>
              <w:t xml:space="preserve"> </w:t>
            </w:r>
            <w:r w:rsidRPr="00472579">
              <w:rPr>
                <w:rFonts w:ascii="Tahoma" w:hAnsi="Tahoma" w:cs="Tahoma"/>
                <w:sz w:val="19"/>
                <w:szCs w:val="19"/>
                <w14:ligatures w14:val="standardContextual"/>
              </w:rPr>
              <w:t>şekillerden oluşturulmalıdır. Ardından öğrencinin belirlediği varsayıma göre sayı</w:t>
            </w:r>
          </w:p>
          <w:p w:rsidR="0057491E" w:rsidRPr="00472579" w:rsidRDefault="007036E7"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ve sayı temsiline dönüşen şekil örüntülerini örnekler (örneğin üç sayısını üçgen, dört sayısını</w:t>
            </w:r>
          </w:p>
          <w:p w:rsidR="0057491E" w:rsidRPr="00472579" w:rsidRDefault="007036E7"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kare, beş sayısını beşgen ile temsil etme vb.) üzerinde listelemesi sağl</w:t>
            </w:r>
            <w:r w:rsidRPr="00472579">
              <w:rPr>
                <w:rFonts w:ascii="Tahoma" w:hAnsi="Tahoma" w:cs="Tahoma"/>
                <w:sz w:val="19"/>
                <w:szCs w:val="19"/>
                <w14:ligatures w14:val="standardContextual"/>
              </w:rPr>
              <w:t>anır. Devamında</w:t>
            </w:r>
            <w:r>
              <w:rPr>
                <w:rFonts w:ascii="Tahoma" w:hAnsi="Tahoma" w:cs="Tahoma"/>
                <w:sz w:val="19"/>
                <w:szCs w:val="19"/>
                <w14:ligatures w14:val="standardContextual"/>
              </w:rPr>
              <w:t xml:space="preserve"> </w:t>
            </w:r>
            <w:r w:rsidRPr="00472579">
              <w:rPr>
                <w:rFonts w:ascii="Tahoma" w:hAnsi="Tahoma" w:cs="Tahoma"/>
                <w:sz w:val="19"/>
                <w:szCs w:val="19"/>
                <w14:ligatures w14:val="standardContextual"/>
              </w:rPr>
              <w:t>öğrencinin listelemiş olduğu örüntünün, varsayımı karşılayıp karşılamadığı örnekler ve</w:t>
            </w:r>
          </w:p>
          <w:p w:rsidR="0057491E" w:rsidRPr="00A23AE0" w:rsidRDefault="007036E7"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 xml:space="preserve">yapılacak etkinliklerle sınanmaya çalışılır. </w:t>
            </w:r>
            <w:r w:rsidRPr="00A23AE0">
              <w:rPr>
                <w:rFonts w:ascii="Tahoma" w:hAnsi="Tahoma" w:cs="Tahoma"/>
                <w:sz w:val="19"/>
                <w:szCs w:val="19"/>
                <w14:ligatures w14:val="standardContextual"/>
              </w:rPr>
              <w:t>Bu süreçte öğrencinin en fazla üç adımlı olan</w:t>
            </w:r>
          </w:p>
          <w:p w:rsidR="0057491E" w:rsidRPr="00A23AE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sayı ve sayı temsiline dönüşen şekil örüntülerindeki artma, az</w:t>
            </w:r>
            <w:r w:rsidRPr="00A23AE0">
              <w:rPr>
                <w:rFonts w:ascii="Tahoma" w:hAnsi="Tahoma" w:cs="Tahoma"/>
                <w:sz w:val="19"/>
                <w:szCs w:val="19"/>
                <w14:ligatures w14:val="standardContextual"/>
              </w:rPr>
              <w:t>alma ve tekrar etme durumlarını</w:t>
            </w:r>
          </w:p>
          <w:p w:rsidR="0057491E" w:rsidRPr="00A23AE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sözlü olarak ifade etmeleri sağlanır. Son olarak da öğrencinin ifade ettiği örüntü ile</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ilgili olarak değerlendirme yapması sağlanır (SDB1.2).</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Belli adımları verilen örüntüden yararlanarak elde edilen veriler üzerinde kur</w:t>
            </w:r>
            <w:r w:rsidRPr="00A23AE0">
              <w:rPr>
                <w:rFonts w:ascii="Tahoma" w:hAnsi="Tahoma" w:cs="Tahoma"/>
                <w:sz w:val="19"/>
                <w:szCs w:val="19"/>
                <w14:ligatures w14:val="standardContextual"/>
              </w:rPr>
              <w:t>ala dayalı hesaplama</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yapması sağlanarak devam eden örüntüye yönelik yargıda bulunması sağlanır</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Öğrencilerin süreçte aktif olarak rol alması için grupla çalışma gerektiren etkinlikler</w:t>
            </w:r>
          </w:p>
          <w:p w:rsidR="0057491E" w:rsidRPr="00A23AE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yapılarak öğrencilerin grup içerisinde kendine uygun görevler almalar</w:t>
            </w:r>
            <w:r w:rsidRPr="00A23AE0">
              <w:rPr>
                <w:rFonts w:ascii="Tahoma" w:hAnsi="Tahoma" w:cs="Tahoma"/>
                <w:sz w:val="19"/>
                <w:szCs w:val="19"/>
                <w14:ligatures w14:val="standardContextual"/>
              </w:rPr>
              <w:t>ı sağlanır.</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Örüntü ile ilgili varsayımda bulunmaktan örüntüyü değerlendirmeye kadar geçen süreçte</w:t>
            </w:r>
          </w:p>
          <w:p w:rsidR="0057491E" w:rsidRPr="00A23AE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öğrenciler kişisel ve grup içi etkinliklerde sorumluluklarını yerine getirmeleri yönünde teşvik</w:t>
            </w:r>
          </w:p>
          <w:p w:rsidR="0057491E"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 xml:space="preserve">edilir (D16.3). </w:t>
            </w:r>
          </w:p>
          <w:p w:rsidR="0057491E" w:rsidRPr="00A23AE0" w:rsidRDefault="007036E7"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 xml:space="preserve">Sayı ve sayı temsiline dönüşen şekil </w:t>
            </w:r>
            <w:r w:rsidRPr="00A23AE0">
              <w:rPr>
                <w:rFonts w:ascii="Tahoma" w:hAnsi="Tahoma" w:cs="Tahoma"/>
                <w:sz w:val="19"/>
                <w:szCs w:val="19"/>
                <w14:ligatures w14:val="standardContextual"/>
              </w:rPr>
              <w:t>örüntüleri hakkında öğrenme çıktılarına</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erişim</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düzeyini belirlemede boşluk doldurma soruları kullanılabilir. Öğrencilerle görüşmeler</w:t>
            </w:r>
          </w:p>
          <w:p w:rsidR="0057491E" w:rsidRPr="00A23AE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yapılarak örüntüler ile ilgili çıkarım yapma sürecinde izlemiş olduğu stratejiler ile sayı</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 xml:space="preserve">ve sayı temsiline dönüşen şekil </w:t>
            </w:r>
            <w:r w:rsidRPr="00A23AE0">
              <w:rPr>
                <w:rFonts w:ascii="Tahoma" w:hAnsi="Tahoma" w:cs="Tahoma"/>
                <w:sz w:val="19"/>
                <w:szCs w:val="19"/>
                <w14:ligatures w14:val="standardContextual"/>
              </w:rPr>
              <w:t>örüntüleri hakkındaki çıkarımları gözlem formlarından yararlanılarak</w:t>
            </w:r>
          </w:p>
          <w:p w:rsidR="0057491E" w:rsidRPr="00DF02B0" w:rsidRDefault="007036E7"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değerlendirilebilir.</w:t>
            </w:r>
          </w:p>
        </w:tc>
      </w:tr>
      <w:tr w:rsidR="0087275B" w:rsidTr="00BE0CFF">
        <w:trPr>
          <w:jc w:val="center"/>
        </w:trPr>
        <w:tc>
          <w:tcPr>
            <w:tcW w:w="2547" w:type="dxa"/>
            <w:vMerge w:val="restart"/>
            <w:vAlign w:val="center"/>
          </w:tcPr>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rsidR="0057491E" w:rsidRPr="00DF02B0" w:rsidRDefault="007036E7" w:rsidP="00BE0CFF">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063700">
              <w:rPr>
                <w:rFonts w:ascii="Tahoma" w:hAnsi="Tahoma" w:cs="Tahoma"/>
                <w:sz w:val="19"/>
                <w:szCs w:val="19"/>
                <w14:ligatures w14:val="standardContextual"/>
              </w:rPr>
              <w:t>Öğrencilerin ritmik saymaları herhangi bir sayıdan başlayacak şekilde yapmaları</w:t>
            </w:r>
            <w:r>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ve bu şekilde örüntüler kurmaları sağlanır.</w:t>
            </w:r>
          </w:p>
        </w:tc>
      </w:tr>
      <w:tr w:rsidR="0087275B" w:rsidTr="00BE0CFF">
        <w:trPr>
          <w:jc w:val="center"/>
        </w:trPr>
        <w:tc>
          <w:tcPr>
            <w:tcW w:w="2547" w:type="dxa"/>
            <w:vMerge/>
            <w:vAlign w:val="center"/>
          </w:tcPr>
          <w:p w:rsidR="0057491E" w:rsidRPr="00DF02B0" w:rsidRDefault="0057491E" w:rsidP="00BE0CFF">
            <w:pPr>
              <w:pStyle w:val="AralkYok"/>
              <w:rPr>
                <w:rFonts w:ascii="Tahoma" w:hAnsi="Tahoma" w:cs="Tahoma"/>
                <w:b/>
                <w:sz w:val="19"/>
                <w:szCs w:val="19"/>
                <w14:ligatures w14:val="standardContextual"/>
              </w:rPr>
            </w:pPr>
          </w:p>
        </w:tc>
        <w:tc>
          <w:tcPr>
            <w:tcW w:w="8084" w:type="dxa"/>
            <w:vAlign w:val="center"/>
          </w:tcPr>
          <w:p w:rsidR="0057491E" w:rsidRPr="00DF02B0" w:rsidRDefault="007036E7"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p>
        </w:tc>
      </w:tr>
    </w:tbl>
    <w:p w:rsidR="007036E7" w:rsidRDefault="007036E7" w:rsidP="007036E7">
      <w:pPr>
        <w:pStyle w:val="AralkYok"/>
        <w:jc w:val="center"/>
      </w:pPr>
    </w:p>
    <w:p w:rsidR="007036E7" w:rsidRDefault="007036E7" w:rsidP="007036E7">
      <w:pPr>
        <w:pStyle w:val="AralkYok"/>
        <w:jc w:val="center"/>
      </w:pPr>
    </w:p>
    <w:p w:rsidR="007036E7" w:rsidRDefault="007036E7" w:rsidP="007036E7">
      <w:pPr>
        <w:pStyle w:val="AralkYok"/>
        <w:jc w:val="center"/>
      </w:pPr>
      <w:bookmarkStart w:id="0" w:name="_GoBack"/>
      <w:bookmarkEnd w:id="0"/>
      <w:r>
        <w:t>...................................</w:t>
      </w:r>
    </w:p>
    <w:p w:rsidR="007036E7" w:rsidRDefault="007036E7" w:rsidP="007036E7">
      <w:pPr>
        <w:pStyle w:val="AralkYok"/>
        <w:jc w:val="center"/>
      </w:pPr>
      <w:r>
        <w:t>Okul Müdürü</w:t>
      </w:r>
    </w:p>
    <w:p w:rsidR="007036E7" w:rsidRDefault="007036E7" w:rsidP="007036E7">
      <w:pPr>
        <w:pStyle w:val="AralkYok"/>
        <w:jc w:val="center"/>
      </w:pPr>
    </w:p>
    <w:p w:rsidR="0087275B" w:rsidRDefault="0087275B">
      <w:pPr>
        <w:spacing w:after="0"/>
        <w:rPr>
          <w:sz w:val="0"/>
          <w:szCs w:val="0"/>
        </w:rPr>
      </w:pPr>
    </w:p>
    <w:sectPr w:rsidR="0087275B" w:rsidSect="000D43CA">
      <w:pgSz w:w="11906" w:h="16838"/>
      <w:pgMar w:top="426" w:right="284" w:bottom="567" w:left="284" w:header="284" w:footer="340" w:gutter="0"/>
      <w:pgNumType w:start="1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402AD9EE">
      <w:start w:val="1"/>
      <w:numFmt w:val="decimal"/>
      <w:lvlText w:val=""/>
      <w:lvlJc w:val="left"/>
    </w:lvl>
    <w:lvl w:ilvl="1" w:tplc="09623BBC">
      <w:numFmt w:val="decimal"/>
      <w:lvlText w:val=""/>
      <w:lvlJc w:val="left"/>
    </w:lvl>
    <w:lvl w:ilvl="2" w:tplc="F0269E40">
      <w:numFmt w:val="decimal"/>
      <w:lvlText w:val=""/>
      <w:lvlJc w:val="left"/>
    </w:lvl>
    <w:lvl w:ilvl="3" w:tplc="8F44864C">
      <w:numFmt w:val="decimal"/>
      <w:lvlText w:val=""/>
      <w:lvlJc w:val="left"/>
    </w:lvl>
    <w:lvl w:ilvl="4" w:tplc="9680162A">
      <w:numFmt w:val="decimal"/>
      <w:lvlText w:val=""/>
      <w:lvlJc w:val="left"/>
    </w:lvl>
    <w:lvl w:ilvl="5" w:tplc="959E37C0">
      <w:numFmt w:val="decimal"/>
      <w:lvlText w:val=""/>
      <w:lvlJc w:val="left"/>
    </w:lvl>
    <w:lvl w:ilvl="6" w:tplc="11A65EB2">
      <w:numFmt w:val="decimal"/>
      <w:lvlText w:val=""/>
      <w:lvlJc w:val="left"/>
    </w:lvl>
    <w:lvl w:ilvl="7" w:tplc="48D21B12">
      <w:numFmt w:val="decimal"/>
      <w:lvlText w:val=""/>
      <w:lvlJc w:val="left"/>
    </w:lvl>
    <w:lvl w:ilvl="8" w:tplc="D4F66C1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36E7"/>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275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7A2D"/>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FCD1D-8BED-40CC-825C-AD1C99E08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610</Words>
  <Characters>3481</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2025-08-26T15:58:00Z</dcterms:modified>
  <cp:category>www.mustafakabul.com</cp:category>
</cp:coreProperties>
</file>